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0"/>
      </w:tblGrid>
      <w:tr w:rsidR="00246701" w:rsidRPr="00246701" w:rsidTr="00246701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41E1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701" w:rsidRPr="00246701" w:rsidRDefault="00246701" w:rsidP="00246701">
            <w:pPr>
              <w:spacing w:after="0" w:line="240" w:lineRule="auto"/>
              <w:outlineLvl w:val="0"/>
              <w:rPr>
                <w:rFonts w:ascii="inherit" w:eastAsia="Times New Roman" w:hAnsi="inherit" w:cs="Open Sans"/>
                <w:b/>
                <w:bCs/>
                <w:color w:val="666666"/>
                <w:kern w:val="36"/>
                <w:sz w:val="36"/>
                <w:szCs w:val="36"/>
              </w:rPr>
            </w:pPr>
            <w:r w:rsidRPr="00246701">
              <w:rPr>
                <w:rFonts w:ascii="Arial" w:eastAsia="Times New Roman" w:hAnsi="Arial" w:cs="Arial"/>
                <w:b/>
                <w:bCs/>
                <w:color w:val="FFE8BF"/>
                <w:kern w:val="36"/>
                <w:sz w:val="35"/>
                <w:szCs w:val="35"/>
              </w:rPr>
              <w:t>PRAVILNIK</w:t>
            </w:r>
            <w:r w:rsidRPr="00246701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32"/>
                <w:szCs w:val="32"/>
              </w:rPr>
              <w:t>O PROTOKOLU POSTUPANJA U USTANOVI U ODGOVORU NA NASILJE, ZLOSTAVLJANJE I ZANEMARIVANJE</w:t>
            </w:r>
          </w:p>
          <w:p w:rsidR="00246701" w:rsidRPr="00246701" w:rsidRDefault="00246701" w:rsidP="00246701">
            <w:pPr>
              <w:shd w:val="clear" w:color="auto" w:fill="00000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</w:pPr>
            <w:r w:rsidRPr="00246701"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  <w:t xml:space="preserve">("Sl. </w:t>
            </w:r>
            <w:proofErr w:type="spellStart"/>
            <w:r w:rsidRPr="00246701"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  <w:t>glasnik</w:t>
            </w:r>
            <w:proofErr w:type="spellEnd"/>
            <w:r w:rsidRPr="00246701"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  <w:t xml:space="preserve"> RS", br. 46/2019 </w:t>
            </w:r>
            <w:proofErr w:type="spellStart"/>
            <w:r w:rsidRPr="00246701"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  <w:t>i</w:t>
            </w:r>
            <w:proofErr w:type="spellEnd"/>
            <w:r w:rsidRPr="00246701"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  <w:t xml:space="preserve"> 104/2020)</w:t>
            </w:r>
          </w:p>
        </w:tc>
      </w:tr>
    </w:tbl>
    <w:p w:rsidR="00246701" w:rsidRPr="00246701" w:rsidRDefault="00246701" w:rsidP="0024670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46701">
        <w:rPr>
          <w:rFonts w:ascii="Arial" w:eastAsia="Times New Roman" w:hAnsi="Arial" w:cs="Arial"/>
          <w:sz w:val="23"/>
          <w:szCs w:val="23"/>
        </w:rPr>
        <w:t> </w:t>
      </w:r>
    </w:p>
    <w:p w:rsidR="00246701" w:rsidRPr="00246701" w:rsidRDefault="00246701" w:rsidP="002467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bookmarkStart w:id="0" w:name="clan_1"/>
      <w:bookmarkEnd w:id="0"/>
      <w:proofErr w:type="spellStart"/>
      <w:r w:rsidRPr="00246701">
        <w:rPr>
          <w:rFonts w:ascii="Arial" w:eastAsia="Times New Roman" w:hAnsi="Arial" w:cs="Arial"/>
          <w:b/>
          <w:bCs/>
          <w:sz w:val="21"/>
          <w:szCs w:val="21"/>
        </w:rPr>
        <w:t>Član</w:t>
      </w:r>
      <w:proofErr w:type="spellEnd"/>
      <w:r w:rsidRPr="00246701">
        <w:rPr>
          <w:rFonts w:ascii="Arial" w:eastAsia="Times New Roman" w:hAnsi="Arial" w:cs="Arial"/>
          <w:b/>
          <w:bCs/>
          <w:sz w:val="21"/>
          <w:szCs w:val="21"/>
        </w:rPr>
        <w:t xml:space="preserve"> 1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Ovim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pravilnikom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utvrđuje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Protokol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Protokol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1.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ovog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člana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odštampan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ovaj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čini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njegov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sastavni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deo.</w:t>
      </w:r>
    </w:p>
    <w:p w:rsidR="00246701" w:rsidRPr="00246701" w:rsidRDefault="00246701" w:rsidP="0024670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bookmarkStart w:id="1" w:name="clan_2"/>
      <w:bookmarkEnd w:id="1"/>
      <w:proofErr w:type="spellStart"/>
      <w:r w:rsidRPr="00246701">
        <w:rPr>
          <w:rFonts w:ascii="Arial" w:eastAsia="Times New Roman" w:hAnsi="Arial" w:cs="Arial"/>
          <w:b/>
          <w:bCs/>
          <w:sz w:val="21"/>
          <w:szCs w:val="21"/>
        </w:rPr>
        <w:t>Član</w:t>
      </w:r>
      <w:proofErr w:type="spellEnd"/>
      <w:r w:rsidRPr="00246701">
        <w:rPr>
          <w:rFonts w:ascii="Arial" w:eastAsia="Times New Roman" w:hAnsi="Arial" w:cs="Arial"/>
          <w:b/>
          <w:bCs/>
          <w:sz w:val="21"/>
          <w:szCs w:val="21"/>
        </w:rPr>
        <w:t xml:space="preserve"> 2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Stupanjem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snagu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ovog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prestaje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važi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Protokolu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RS",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30/10).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Ovaj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stupa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snagu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osmog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dana od dana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objavljivanja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glasniku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Republike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Srbije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".</w:t>
      </w:r>
    </w:p>
    <w:p w:rsidR="00246701" w:rsidRPr="00246701" w:rsidRDefault="00246701" w:rsidP="0024670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46701">
        <w:rPr>
          <w:rFonts w:ascii="Arial" w:eastAsia="Times New Roman" w:hAnsi="Arial" w:cs="Arial"/>
          <w:sz w:val="23"/>
          <w:szCs w:val="23"/>
        </w:rPr>
        <w:t> </w:t>
      </w:r>
    </w:p>
    <w:p w:rsidR="00246701" w:rsidRPr="00246701" w:rsidRDefault="00246701" w:rsidP="002467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bookmarkStart w:id="2" w:name="str_1"/>
      <w:bookmarkEnd w:id="2"/>
      <w:r w:rsidRPr="00246701">
        <w:rPr>
          <w:rFonts w:ascii="Arial" w:eastAsia="Times New Roman" w:hAnsi="Arial" w:cs="Arial"/>
          <w:b/>
          <w:bCs/>
          <w:sz w:val="30"/>
          <w:szCs w:val="30"/>
        </w:rPr>
        <w:t>PROTOKOL</w:t>
      </w:r>
      <w:r w:rsidRPr="00246701">
        <w:rPr>
          <w:rFonts w:ascii="Open Sans" w:eastAsia="Times New Roman" w:hAnsi="Open Sans" w:cs="Open Sans"/>
          <w:b/>
          <w:bCs/>
          <w:sz w:val="30"/>
          <w:szCs w:val="30"/>
        </w:rPr>
        <w:br/>
      </w:r>
      <w:r w:rsidRPr="00246701">
        <w:rPr>
          <w:rFonts w:ascii="Arial" w:eastAsia="Times New Roman" w:hAnsi="Arial" w:cs="Arial"/>
          <w:b/>
          <w:bCs/>
          <w:sz w:val="30"/>
          <w:szCs w:val="30"/>
        </w:rPr>
        <w:t>POSTUPANJA U USTANOVI U ODGOVORU NA NASILJE, ZLOSTAVLJANJE I ZANEMARIVANJE</w:t>
      </w:r>
    </w:p>
    <w:p w:rsidR="00246701" w:rsidRPr="00246701" w:rsidRDefault="00246701" w:rsidP="0024670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46701">
        <w:rPr>
          <w:rFonts w:ascii="Arial" w:eastAsia="Times New Roman" w:hAnsi="Arial" w:cs="Arial"/>
          <w:sz w:val="23"/>
          <w:szCs w:val="23"/>
        </w:rPr>
        <w:t> </w:t>
      </w:r>
    </w:p>
    <w:p w:rsidR="00246701" w:rsidRPr="00246701" w:rsidRDefault="00246701" w:rsidP="00246701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bookmarkStart w:id="3" w:name="str_2"/>
      <w:bookmarkEnd w:id="3"/>
      <w:r w:rsidRPr="00246701">
        <w:rPr>
          <w:rFonts w:ascii="Arial" w:eastAsia="Times New Roman" w:hAnsi="Arial" w:cs="Arial"/>
          <w:sz w:val="27"/>
          <w:szCs w:val="27"/>
        </w:rPr>
        <w:t>UVOD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Prava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Republici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Srbiji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Ustavom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Republike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Srbije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ratifikovanim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međunarodnim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ugovorima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zakonikom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RS", br. 85/05, 88/05 -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ispravka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107/05 -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ispravka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72/09, 111/09, 121/12, 104/13, 108/14, 94/16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35/19),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maloletnim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učiniocima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dela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krivičnopravnoj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maloletnih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RS",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85/05),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Zakonikom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RS", br. 72/11, 101/11, 121/12, 32/13, 45/13, 55/14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35/19),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RS", br. 65/13, 13/16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98/16 - US),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Porodičnim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RS", br. 18/05, 72/11 - dr.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6/15),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opštem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upravnom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RS", br. 18/16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95/18 -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autentično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tumačenje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zabrani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diskriminacije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RS",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22/09),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sprečavanju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porodici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RS",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94/16),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posebnim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sprečavanje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vršenja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dela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protiv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slobode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maloletnim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RS",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32/13),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sistema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RS", br. 88/17, 27/18 - dr.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10/19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6/20),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učeničkom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studentskom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standardu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RS", br. 18/17, 55/13, 27/18 - dr.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10/19 - dr.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 (u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tekstu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propisima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regulišu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relevantnim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međunarodnim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ratifikovala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Republika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Srbija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regulišu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Republika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Srbija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ratifikacijom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Konvencije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Ujedinjenih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list SFRJ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Međunarodni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ugovori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",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15/90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list SRJ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Međunarodni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ugovori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", br. 4/96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2/97 -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tekstu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Konvencija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obavezala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obezbedi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potpunu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informisanost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pravično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privatnosti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bilo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izloženo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obezbedi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podršku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fizički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psihički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oporavak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njegovu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reintegraciju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Pravilnikom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protokolu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tekstu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protokolu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propisuju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sadržaji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sprovođenja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preventivnih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interventnih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uslovi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rizika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praćenje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efekata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preduzetih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smislu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protokolu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predškolska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srednja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Pod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prostorom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podrazumeva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prostor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sedištu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van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sedišta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lastRenderedPageBreak/>
        <w:t>vaspitno-obrazovni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obrazovno-vaspitni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tekstu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obrazovno-vaspitni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rad).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primeni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protokolu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obezbedi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uslove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sigurno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podsticajno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odrastanje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reintegraciju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izvršilo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bilo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izloženo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tiču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prioritetni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princip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najbolji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interes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Zabrana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svakog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zakonske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zastupnike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tekstu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bookmarkStart w:id="4" w:name="str_3"/>
      <w:bookmarkEnd w:id="4"/>
      <w:r w:rsidRPr="00246701">
        <w:rPr>
          <w:rFonts w:ascii="Arial" w:eastAsia="Times New Roman" w:hAnsi="Arial" w:cs="Arial"/>
          <w:sz w:val="27"/>
          <w:szCs w:val="27"/>
        </w:rPr>
        <w:t>OBLICI NASILJA I ZLOSTAVLJANJA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Pod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podrazumeva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svaki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jedanput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učinjenog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ponavljanog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verbalnog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neverbalnog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posledicu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stvarno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potencijalno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ugrožavanje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zdravlja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dostojanstva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ličnosti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smatra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zakonskom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zastupniku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tekstu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fizičko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psihičko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emocionalno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digitalno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Fizičko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dovede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stvarnog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potencijalnog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telesnog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povređivanja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fizičko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kažnjavanje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odraslih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osoba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Psihičko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dovodi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trenutnog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trajnog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ugrožavanja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emocionalnog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zdravlja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dostojanstva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isključuje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vršnjaka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različitih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odvajanjem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neprihvatanjem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različitosti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uskraćivanjem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izolovanjem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zajednice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uskraćivanjem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zadovoljavanja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Digitalno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zloupotreba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informacionih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tehnologija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posledicu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povredu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ličnosti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ugrožavanje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dostojanstva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poruka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elektronskom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poštom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SMS-om, MMS-om,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putem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veb-sajta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(web site),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četovanjem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uključivanjem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forume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mreže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sl.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navedenih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prepoznaje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kroz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zloupotrebu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seksualno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ekstremizam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trgovinu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ljudima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eksploataciju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dr.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Zloupotreba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ono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pojedinac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čini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čini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negativno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utiče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nanosi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uskraćuje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smanjuje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mogućnost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bezbedan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zdrav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dovodi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ga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nemoćan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položaj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pojedincu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zloupotreba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sportu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političke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verske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komercijalne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svrhe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Zloupotreba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podrazumeva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prekomerno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podsticanje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psihološki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pritisak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nastavnika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postignuća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mogu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posledicu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ugrožavanje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normalnog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psihofizičkog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najboljeg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interesa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Seksualno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seksualno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uznemirava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navodi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primorava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učešće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seksualnim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želi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shvata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dorastao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koristi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prostituciju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pornografiju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seksualne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eksploatacije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ekstremizam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promovisanje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zagovaranje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podržavanje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pripremanje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učestvovanje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ideološki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motivisanom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društvenih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ekonomskih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verskih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političkih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ciljeva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Trgovina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ljudima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vrbovanje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prevoženje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prebacivanje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primanje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putem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pretnje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silom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upotrebom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sile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prisile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otmice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prevare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obmane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zloupotrebe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ovlašćenja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teškog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položaja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primanja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novca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koristi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bi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dobio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pristanak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kontrolu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eksploatacije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Eksploatacija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rad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najboljem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interesu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korist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Ove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mogu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posledicu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ugrožavanje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fizičkog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mentalnog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zdravlja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moralnog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emocionalnog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njegovu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ekonomsku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zavisnost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uskraćivanje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slobodu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izbora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lastRenderedPageBreak/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nemarno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propuštanje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osobe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preuzela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brigu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okviru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raspoloživih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sredstava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obezbedi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uslove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oblastima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naruši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njegovo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zdravlje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obuhvata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uskraćivanje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pojedinih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obrazovno-vaspitnog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neophodnih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nereagovanje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propuste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obavljanju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nadzora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povređivanja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samopovređivanja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upotrebe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alkohola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duvana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narkotičkog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sredstva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psihoaktivne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supstance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destruktivne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dr.</w:t>
      </w:r>
    </w:p>
    <w:p w:rsidR="00246701" w:rsidRPr="00246701" w:rsidRDefault="00246701" w:rsidP="00246701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bookmarkStart w:id="5" w:name="str_4"/>
      <w:bookmarkEnd w:id="5"/>
      <w:r w:rsidRPr="00246701">
        <w:rPr>
          <w:rFonts w:ascii="Arial" w:eastAsia="Times New Roman" w:hAnsi="Arial" w:cs="Arial"/>
          <w:sz w:val="27"/>
          <w:szCs w:val="27"/>
        </w:rPr>
        <w:t>PREVENCIJA NASILJA, ZLOSTAVLJANJA I ZANEMARIVANJA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stvara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sigurno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podsticajno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okruženje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neguje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atmosfera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saradnje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uvažavanja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konstruktivne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komunikacije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Preventivnim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se: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1)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podiže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osetljivosti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prepoznavanje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2)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neguje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atmosfera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saradnje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tolerancije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uvažavanja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konstruktivne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komunikacije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toleriše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3)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ističu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unapređuju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znanja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veštine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stavovi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kreiranje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bezbednog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podsticajnog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okruženja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konstruktivno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reagovanje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4)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unapređuje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poznavanje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procedura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prijavljivanje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slučaju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saznanja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obezbeđuje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5)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podstiče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usvajanje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pozitivnih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normi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veština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konstruktivne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komunikacije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razvijanje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empatije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6)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upoznavanje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vidovima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strategijama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pružanja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odgovarajuće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podrške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razumevanja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različitih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komunikacija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teškoćama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smetnjama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invaliditetom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7)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razvijaju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socioemocionalne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kompetencije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sebi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samoregulacija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donošenje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odluka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dr.).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Deca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zajednički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planiraju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osmišljavaju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sprovode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preventivne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informisanja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sadržajima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sprečavanje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okviru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pojačan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koji je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intenzitetu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primeren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specifičnostima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najboljem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interesu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samostalno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saradnji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str_5"/>
      <w:bookmarkEnd w:id="6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Prava,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obaveze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odgovornosti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svih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u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ustanovi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u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prevenciji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nasilja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zlostavljanja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zanemarivanja</w:t>
      </w:r>
      <w:proofErr w:type="spellEnd"/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upozna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njihovim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propisanim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Pravilnikom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protokolu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podzakonskim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opštim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svojim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kvalitetnim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vaspitno-obrazovnim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obrazovno-vaspitnim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stručnim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primenom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različitih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metoda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obezbeđuju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podsticajnu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bezbednu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sredinu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starešina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vaspitač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nastavnik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stručni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saradnik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izborom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odgovarajućih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sadržaja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doprinose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sticanju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kvalitetnih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znanja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veština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formiranju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vrednosnih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stavova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uzajamno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razumevanje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uvažavanje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različitosti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konstruktivno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prevazilaženje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sukoba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dr.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izradu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IOP a se,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postoji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predstavnik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planiranja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okviru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IOPa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vezi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lastRenderedPageBreak/>
        <w:t>Odeljenjski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starešina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vaspitač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nastavnik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stručni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saradnik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obezbedi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proizvoljnog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nezakonitog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mešanja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njegovu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privatnost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porodicu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prepisku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nezakonitih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napada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njegovu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čast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ugled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sme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svojim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izazove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doprinese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primer: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nepoštovanje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ličnosti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nedoslednost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neobjektivno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ocenjivanje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dr.).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uvažavaju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poštuju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ličnost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poštuju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uređuju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njihova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učestvuju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odeljenjske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zajednice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pružaju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vršnjačku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podršku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članovi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parlamenta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školskog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odbora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posebno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doprinose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učestvuju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preventivnim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svojim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izazivaju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doprinose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učestvuju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najboljem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interesu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učestvuje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preventivnim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uvažava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poštuje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ličnost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sme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svojim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izazove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doprinese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to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učini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odmah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tome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tužioca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nakon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toga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elektronskim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putem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školsku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upravu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uređuju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sistema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poziv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uzme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učešće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odazove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poziv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podnosi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prijavu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utvrđivanje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obraća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protiv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preduzme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str_6"/>
      <w:bookmarkEnd w:id="7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Program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zaštite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od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nasilja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zlostavljanja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zanemarivanja</w:t>
      </w:r>
      <w:proofErr w:type="spellEnd"/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jedan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prioriteta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ostvarivanju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obrazovno-vaspitnog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planira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planom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sastavni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deo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godišnjeg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plana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programom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određuje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obezbeđuju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razvijanje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negovanje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pozitivne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atmosfere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bezbedno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okruženje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tekstu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program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).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Program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utvrđuje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analize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bezbednosti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aspekata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školske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sredine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prisutnosti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različitih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intenziteta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specifičnosti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rezultata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samovrednovanja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vrednovanja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kvaliteta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Programom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definišu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preventivne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interventne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vremenska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dinamika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njihovog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Program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sadrži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: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1)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preventivne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ugrađuju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svakodnevni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život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nastavne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vannastavne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pojedinac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odeljenjska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zajednica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učenički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parlament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stručni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tela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sastanci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individualno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savet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);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2)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stručno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usavršavanje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unapređivanja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kompetencija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preventivni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blagovremeno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uočavanje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prepoznavanje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reagovanje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3)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informisanja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oblasti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4)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podsticanje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osposobljavanje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učestvovanje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odeljenjske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zajednice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parlamenta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školskog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odbora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stručnih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organa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5)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sadržaje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pojačan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razvijanja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samoodgovornog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društveno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6)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prepoznavanje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rizika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7)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reagovanja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uloge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intervenciji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postoji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ono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događa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lastRenderedPageBreak/>
        <w:t xml:space="preserve">8)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sadržaje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decom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onima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trpe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svedoci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9)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sadržaje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saradnje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porodicom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jedinicom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lokalne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samouprave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jedinicom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tekstu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centrom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zdravstvenom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pravosudnim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dr.;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10)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praćenja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vrednovanja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izveštavanja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organa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ostvarivanju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efektima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programa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:</w:t>
      </w:r>
    </w:p>
    <w:p w:rsidR="00246701" w:rsidRPr="00246701" w:rsidRDefault="00246701" w:rsidP="00246701">
      <w:pPr>
        <w:spacing w:after="150" w:line="240" w:lineRule="auto"/>
        <w:ind w:left="300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(1)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učestalost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incidentnih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situacija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prijava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ind w:left="300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(2)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zastupljenost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različitih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ind w:left="300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(3)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povreda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ind w:left="300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(4)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učestalost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vaspitno-disciplinskih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protiv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disciplinskih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protiv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ind w:left="300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(4a)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efekte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operativnih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planova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ind w:left="300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(5)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obuke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prevenciji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usavršavanja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ind w:left="300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(6)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efekte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promovišu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saradnju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razumevanje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pomoć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vršnjaka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ind w:left="300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(7)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stepen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kvalitet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uključenosti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život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ind w:left="300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(8)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parametre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str_7"/>
      <w:bookmarkEnd w:id="8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Tim za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zaštitu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od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diskriminacije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nasilja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zlostavljanja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zanemarivanja</w:t>
      </w:r>
      <w:proofErr w:type="spellEnd"/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poseban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diskriminacije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tekstu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).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Članove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rukovodioca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određuje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nastavnik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vaspitač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stručni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saradnik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sekretar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dr.).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sastav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članova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zavise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specifičnosti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vrsta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veličina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izdvojena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prisustvo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manjinskih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marginalizovanih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dr.).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određuje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psihologa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pedagoga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izuzetno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člana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vođenje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čuvanje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dokumentacije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situacijama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učestvuje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predstavnike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lokalne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zajednice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parlamenta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odgovarajuće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stručnjake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specijalni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pedagog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lekar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predstavnik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dr.).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razmatra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konkretne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situacije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uređuje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podataka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ličnosti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Zadaci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jesu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, da: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1)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program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specifičnostima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utvrđenim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unapređivanje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analize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2)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informiše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planiranim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mogućnosti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traženja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podrške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pomoći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3)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učestvuje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obukama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projektima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razvijanje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kompetencija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situacijama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4)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predlaže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konsultacije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učestvuje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rizika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donošenju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odluka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slučajevima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dešavanja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5)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preventivne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interventne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6)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procenjuje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efekte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preduzetih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odgovarajuće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predloge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7)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stručnjacima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organa,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medija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sveobuhvatne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lastRenderedPageBreak/>
        <w:t xml:space="preserve">8)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vodi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čuva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dokumentaciju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9)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izveštava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stručna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tela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organ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upravljanja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bookmarkStart w:id="9" w:name="str_8"/>
      <w:bookmarkEnd w:id="9"/>
      <w:r w:rsidRPr="00246701">
        <w:rPr>
          <w:rFonts w:ascii="Arial" w:eastAsia="Times New Roman" w:hAnsi="Arial" w:cs="Arial"/>
          <w:sz w:val="27"/>
          <w:szCs w:val="27"/>
        </w:rPr>
        <w:t>INTERVENTNE AKTIVNOSTI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ono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zaustavlja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osigurava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bezbednost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trpe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svedoče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smanjuje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rizik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ublažavaju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posledice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prate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efekti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preduzetih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interveniše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ono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dešava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dogodilo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između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vršnjačko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čini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lice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interveniše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uvek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postoji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saznanje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trpi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bez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obzira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to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gde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ono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dogodilo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gde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događa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gde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str_9"/>
      <w:bookmarkEnd w:id="10"/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Zaštita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zaposlenih</w:t>
      </w:r>
      <w:proofErr w:type="spellEnd"/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interveniše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uvek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postoji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saznanje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trpi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trećeg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vreme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počinilac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odmah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rad;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pokrene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vaspitno-disciplinski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izrekne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vaspitno-disciplinsku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gramStart"/>
      <w:r w:rsidRPr="00246701">
        <w:rPr>
          <w:rFonts w:ascii="Arial" w:eastAsia="Times New Roman" w:hAnsi="Arial" w:cs="Arial"/>
          <w:sz w:val="19"/>
          <w:szCs w:val="19"/>
        </w:rPr>
        <w:t>a</w:t>
      </w:r>
      <w:proofErr w:type="gram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elementi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dela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prijavu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podnese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tužilaštvu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lice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počinilac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odmah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tužioca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str_10"/>
      <w:bookmarkEnd w:id="11"/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Razvrstavanje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nasilja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zlostavljanja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zanemarivanja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po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nivoima</w:t>
      </w:r>
      <w:proofErr w:type="spellEnd"/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Razvrstavanje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cilj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obezbeđivanje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ujednačenog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intervenisanja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situacijama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akteri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učenik-učenik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učenik-dete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mogu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više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razlikuju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intenzitetu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stepenu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rizika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učestalosti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posledicama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donosi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analize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intenziteta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stepena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rizika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trajanja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učestalosti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posledica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uzrasta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karakteristika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perioda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predškolskom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uzrastu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karakteristikama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uzrasta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govorimo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sukobima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među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decom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agresivnom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Tim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predškolskoj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prilikom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analize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situacije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donošenja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plana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porodicom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obzir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učestalost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trajanje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intenzitet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posledice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stepen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rizika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situacije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karakteristike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perioda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individualne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karakteristike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realizaciju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plana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porodice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najboljem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interesu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stručnog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mišljenja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rad.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rizika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sistemi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spoljašnje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mreže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svojom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sistem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sistem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zdravstvene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).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b/>
          <w:bCs/>
          <w:i/>
          <w:iCs/>
          <w:sz w:val="19"/>
          <w:szCs w:val="19"/>
        </w:rPr>
        <w:t>Prvi</w:t>
      </w:r>
      <w:proofErr w:type="spellEnd"/>
      <w:r w:rsidRPr="00246701">
        <w:rPr>
          <w:rFonts w:ascii="Arial" w:eastAsia="Times New Roman" w:hAnsi="Arial" w:cs="Arial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i/>
          <w:iCs/>
          <w:sz w:val="19"/>
          <w:szCs w:val="19"/>
        </w:rPr>
        <w:t>nivo</w:t>
      </w:r>
      <w:proofErr w:type="spellEnd"/>
      <w:r w:rsidRPr="00246701">
        <w:rPr>
          <w:rFonts w:ascii="Arial" w:eastAsia="Times New Roman" w:hAnsi="Arial" w:cs="Arial"/>
          <w:b/>
          <w:bCs/>
          <w:i/>
          <w:iCs/>
          <w:sz w:val="19"/>
          <w:szCs w:val="19"/>
        </w:rPr>
        <w:t>: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fizičkog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udaranje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čvrga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guranje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štipanje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grebanje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gađanje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čupanje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ujedanje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saplitanje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šutiranje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uništavanje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stvari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omalovažavanje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ogovaranje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vređanje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ruganje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nazivanje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pogrdnim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imenima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etiketiranje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imitiranje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, 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prozivanje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".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dobacivanje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podsmevanje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isključivanje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zajedničkih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favorizovanje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različitosti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širenje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glasina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lastRenderedPageBreak/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seksualnog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neumesno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seksualnom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porukom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dobacivanje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lascivni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komentari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širenje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priča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etiketiranje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seksualno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nedvosmislena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gestikulacija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zloupotrebom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informacionih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tehnologija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komunikacionih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programa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uznemiravajuće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pozivanje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uznemiravajućih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poruka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SMS-om, MMS-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om.</w:t>
      </w:r>
      <w:proofErr w:type="spellEnd"/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b/>
          <w:bCs/>
          <w:i/>
          <w:iCs/>
          <w:sz w:val="19"/>
          <w:szCs w:val="19"/>
        </w:rPr>
        <w:t>Drugi</w:t>
      </w:r>
      <w:proofErr w:type="spellEnd"/>
      <w:r w:rsidRPr="00246701">
        <w:rPr>
          <w:rFonts w:ascii="Arial" w:eastAsia="Times New Roman" w:hAnsi="Arial" w:cs="Arial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i/>
          <w:iCs/>
          <w:sz w:val="19"/>
          <w:szCs w:val="19"/>
        </w:rPr>
        <w:t>nivo</w:t>
      </w:r>
      <w:proofErr w:type="spellEnd"/>
      <w:r w:rsidRPr="00246701">
        <w:rPr>
          <w:rFonts w:ascii="Arial" w:eastAsia="Times New Roman" w:hAnsi="Arial" w:cs="Arial"/>
          <w:b/>
          <w:bCs/>
          <w:i/>
          <w:iCs/>
          <w:sz w:val="19"/>
          <w:szCs w:val="19"/>
        </w:rPr>
        <w:t>: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fizičkog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šamaranje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udaranje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gaženje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cepanje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, "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šutke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",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zatvaranje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pljuvanje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otimanje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uništavanje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imovine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izmicanje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stolice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čupanje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uši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ucenjivanje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pretnje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nepravedno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kažnjavanje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zabrana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komuniciranja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isključivanje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manipulisanje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spletkarenje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uskraćivanje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pažnje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ignorisanje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neuključivanje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neprihvatanje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manipulisanje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iskorišćavanje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seksualnog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seksualno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dodirivanje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pokazivanje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pornografskog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materijala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pokazivanje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intimnih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delova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tela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svlačenje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zloupotrebom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informacionih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tehnologija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oglašavanje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snimanje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video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zapisa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zloupotreba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blogova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foruma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četovanja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snimanje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kamerom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pojedinaca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protiv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njihove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volje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snimanje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kamerom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scena,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distribuiranje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snimaka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b/>
          <w:bCs/>
          <w:i/>
          <w:iCs/>
          <w:sz w:val="19"/>
          <w:szCs w:val="19"/>
        </w:rPr>
        <w:t>Treći</w:t>
      </w:r>
      <w:proofErr w:type="spellEnd"/>
      <w:r w:rsidRPr="00246701">
        <w:rPr>
          <w:rFonts w:ascii="Arial" w:eastAsia="Times New Roman" w:hAnsi="Arial" w:cs="Arial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i/>
          <w:iCs/>
          <w:sz w:val="19"/>
          <w:szCs w:val="19"/>
        </w:rPr>
        <w:t>nivo</w:t>
      </w:r>
      <w:proofErr w:type="spellEnd"/>
      <w:r w:rsidRPr="00246701">
        <w:rPr>
          <w:rFonts w:ascii="Arial" w:eastAsia="Times New Roman" w:hAnsi="Arial" w:cs="Arial"/>
          <w:b/>
          <w:bCs/>
          <w:i/>
          <w:iCs/>
          <w:sz w:val="19"/>
          <w:szCs w:val="19"/>
        </w:rPr>
        <w:t>: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fizičkog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tuča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davljenje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bacanje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prouzrokovanje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opekotina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povreda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uskraćivanje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hrane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izlaganje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niskim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temperaturama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napad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oružjem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zastrašivanje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ucenjivanje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ozbiljnu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pretnju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iznuđivanje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novca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stvari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ograničavanje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kretanja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navođenje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korišćenje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narkotičkih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sredstava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psihoaktivnih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supstanci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destruktivne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pretnje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izolacija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maltretiranje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pojedincu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zatvorenih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klanova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posledicu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povređivanje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seksualnog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zavođenje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odraslih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podvođenje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zloupotreba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položaja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navođenje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iznuđivanje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prinuda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seksualni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čin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silovanje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, incest.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zloupotrebom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informacionih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tehnologija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snimanje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scena,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distribuiranje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snimaka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dečija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pornografija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ujednačenog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primerenog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prevenciji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intervenciji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opštim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utvrđuje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lakše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povrede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: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prvog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delotvoran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pojačani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delotvoran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trećeg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bude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tretirano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teža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povreda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povreda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zabrane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utvrđene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zavisnosti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okolnosti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posledice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intenzitet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učestalost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vreme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mesto,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dr.),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procenjuju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domu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lakših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povreda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tretira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teža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povreda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uređen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učenički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studentski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standard.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domu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vaspitno-disciplinski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vodi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uređen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učenički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studentski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standard.</w:t>
      </w:r>
    </w:p>
    <w:p w:rsidR="00246701" w:rsidRPr="00246701" w:rsidRDefault="00246701" w:rsidP="002467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str_11"/>
      <w:bookmarkEnd w:id="12"/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Intervencija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prema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nivoima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nasilja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zlostavljanja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zanemarivanja</w:t>
      </w:r>
      <w:proofErr w:type="spellEnd"/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uslovljava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određenih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interventnih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Na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prvom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nivou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,</w:t>
      </w:r>
      <w:r w:rsidRPr="00246701">
        <w:rPr>
          <w:rFonts w:ascii="Arial" w:eastAsia="Times New Roman" w:hAnsi="Arial" w:cs="Arial"/>
          <w:sz w:val="19"/>
          <w:szCs w:val="19"/>
        </w:rPr>
        <w:t xml:space="preserve"> 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samostalno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starešina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nastavnik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vaspitač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saradnji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smislu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pojačanog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odeljenjskom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zajednicom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individualno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lastRenderedPageBreak/>
        <w:t>Izuzetno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ponavlja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bio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delotvoran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posledice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pitanju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strane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pojedincu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isto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trpi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ponovljeno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situacije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prvog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interveniše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predviđenim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Na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drugom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nivou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,</w:t>
      </w:r>
      <w:r w:rsidRPr="00246701">
        <w:rPr>
          <w:rFonts w:ascii="Arial" w:eastAsia="Times New Roman" w:hAnsi="Arial" w:cs="Arial"/>
          <w:sz w:val="19"/>
          <w:szCs w:val="19"/>
        </w:rPr>
        <w:t xml:space="preserve"> 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starešina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glavni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vaspitač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domu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saradnji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pedagogom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psihologom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učešće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smislu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pojačanog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pojačani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delotvoran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pokreće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vaspitno-disciplinski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izriče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Na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trećem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nivou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,</w:t>
      </w:r>
      <w:r w:rsidRPr="00246701">
        <w:rPr>
          <w:rFonts w:ascii="Arial" w:eastAsia="Times New Roman" w:hAnsi="Arial" w:cs="Arial"/>
          <w:sz w:val="19"/>
          <w:szCs w:val="19"/>
        </w:rPr>
        <w:t> 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angažovanje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organa,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zdravstvena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izvršioci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starosti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do 14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godina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protiv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podneti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prijava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pokrenuti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ovom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uzrastu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isključivo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primenjuju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obrazovno-vaspitnog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sistema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zdravstvenog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sistema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sistema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do 14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godina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pojačan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intenzitetu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primeren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prisustvo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najboljem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interesu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mu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šteti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ugrozi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njegovu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bezbednost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ometa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obaveštava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tužioca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ovom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koji je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intenzitetu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primeren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pokretanje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vaspitno-disciplinskog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izricanje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za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angažovana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saradnju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međusobno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usklađuju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predškolskog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uzrasta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ispoljava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agresivno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deo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faze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posledica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smetnje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vaspitač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saradnji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planira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podrške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Tim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procenjuje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li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institucija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podršku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porodici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(centra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zdravstvene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dr.).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čini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njegovo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najboljem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interesu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Tim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prikuplja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psiholog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pedagog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zaduženo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lice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starešina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nastavnik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vaspitač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član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neposredno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saznanju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prikupljanja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određuje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specifičnostima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situacije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Izjava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maloletnih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odredbama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uređuje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sistema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propisan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vaspitno-disciplinski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postoji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saznanje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porodici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bez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odlaganja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obaveštava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tužioca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događaju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zahteva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neodložnih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interventnih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obaveštava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rad,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koordinira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postoji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događaj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elemente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dela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obaveštava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podnosi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prijavu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tužilaštvu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zahtev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pokretanje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postoji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saznanje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uključen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promovisanje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zagovaranje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podržavanje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ideološki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motivisanog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ekstremizam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saziva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razmatra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situaciju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prikupljenih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odlučuje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postoji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saznanje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/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učestvuje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ideološki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motivisanom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ekstremizmu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elemente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dela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taj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događaj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očigledno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zahteva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neodložno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odmah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obaveštava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tužioca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postoji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saznanje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uključen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bilo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trgovine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ljudima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obraća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identifikaciju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podršku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žrtava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trgovine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ljudima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žrtava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trgovine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lastRenderedPageBreak/>
        <w:t>Uvek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počinilac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podršku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(plan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protokolu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počinilac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/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odmah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tužioca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počinilac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rad;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pokrene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vaspitno-disciplinski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izrekne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vaspitno-disciplinsku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gramStart"/>
      <w:r w:rsidRPr="00246701">
        <w:rPr>
          <w:rFonts w:ascii="Arial" w:eastAsia="Times New Roman" w:hAnsi="Arial" w:cs="Arial"/>
          <w:sz w:val="19"/>
          <w:szCs w:val="19"/>
        </w:rPr>
        <w:t>a</w:t>
      </w:r>
      <w:proofErr w:type="gram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elementi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dela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prijavu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podnese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tužilaštvu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postoji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počinilac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odraslo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lice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uključujući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punoletnog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istovremeno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izloženo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podnese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krivičnu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prijavu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tužilaštvu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zahtev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pokretanje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dešava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između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odraslih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lice),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saznanje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dogodilo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van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pojača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porodici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nužno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dogodi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prostoru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/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vreme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obrazovno-vaspitnog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pojačanog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vodi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okončava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vaspitno-disciplinski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rokovima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utvrđen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obaveštava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institucije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zavisnosti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procenjenog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vodi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efikasno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ekonomično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obezbedi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poverljivost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podataka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dođe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toku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izlaže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ponovnom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nepotrebnom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davanju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izjava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str_12"/>
      <w:bookmarkEnd w:id="13"/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Redosled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postupanja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u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intervenciji</w:t>
      </w:r>
      <w:proofErr w:type="spellEnd"/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1)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Proveravanje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sumnje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ili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otkrivanje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nasilja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,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zlostavljanja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i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 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prikupljanjem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indirektno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Prikupljanje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cilj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utvrđivanje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relevantnih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činjenica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potvrđuje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odbacuje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Tokom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prikupljanja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poštuju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principi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utvrđeni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Konvencijom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primenjuju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učestvuje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maloletno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lice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proverava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svaku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informaciju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mogućem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vrši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pregled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video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zapisa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elektronski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nadzor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prostorom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prijavi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neprimereno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njegovom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slučaju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neosnovane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pojačava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potvrdi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sumnja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izvršeno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2)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Zaustavljanje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nasilja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i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zlostavljanja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i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smirivanje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učesnika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 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najbližeg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prisutnog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dežurnog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nastavnika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vaspitača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odlučno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razdvoji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smiri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slučaju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zaposleni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sukob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visoko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rizičan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ga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zaustavi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odmah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tražiti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pomoć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3)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Obaveštavanje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 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hitnih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pružanje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pomoći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obezbeđivanje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lekarske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pomoći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obaveštavanje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centra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odmah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nakon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zaustavljanja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dostupan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njegovo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obaveštavanje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najboljem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interesu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odmah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obaveštava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4)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Konsultacije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 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vrše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razjašnjavanja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okolnosti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analiziranja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činjenica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objektivniji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rizika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odgovarajućih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lastRenderedPageBreak/>
        <w:t>izbegavanja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konfuzije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sprečavanja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nekoordinisane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uspostavljanja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razvijanja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usklađenog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ujednačenog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efikasnog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konsultacije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starešina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dežurni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nastavnik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vaspitač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psiholog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pedagog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učenički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parlament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toku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konsultacija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usled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složenih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okolnosti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mogu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sigurnošću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odrede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konsultacije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ministarstvo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tekstu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Ministarstvo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školsku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upravu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pravosudne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zdravstvenu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studentskog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standarda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5) Mere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i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 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Operativni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plan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tekstu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plan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sačinjava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konkretnu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situaciju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trećeg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(one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trpe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svedoci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).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Plan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zavisi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od: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vrste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težine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posledica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pojedinca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kolektiv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sl.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planiraju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sagledavanja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karakteristika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/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podrškom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učešće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/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porodici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nužno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Plan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sadrži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usmerene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promenu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pojačan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rad,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rad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odeljenjskom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zajednicom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parlamenta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saveta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organa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upravljanja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nosioce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vremensku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dinamiku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obezbediti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ponovno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širu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društvenu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zajednicu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budu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preduzete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uz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učešće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budu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njegovim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razvojnim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mogućnostima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postoji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se,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pojačanog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intenzitetu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odgovara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prilagodi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predložiće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pružanje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dodatne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podrške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pripremu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individualnog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plana.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Plan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sačinjava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zajedno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odeljenskim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starešinom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vaspitačem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psihologom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pedagogom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sekretarom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roditeljem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članom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76.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6,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tač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1)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2)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sistema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izradu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plana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Tim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inkluzivno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pripremu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plana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realizaciju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gramStart"/>
      <w:r w:rsidRPr="00246701">
        <w:rPr>
          <w:rFonts w:ascii="Arial" w:eastAsia="Times New Roman" w:hAnsi="Arial" w:cs="Arial"/>
          <w:sz w:val="19"/>
          <w:szCs w:val="19"/>
        </w:rPr>
        <w:t>god</w:t>
      </w:r>
      <w:proofErr w:type="gram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moguće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će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predstavnike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odeljenske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zajednice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grupe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parlamenta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-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Plan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sadrži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informacije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samostalno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saradnji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sprovode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samostalno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određuju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zadaci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dinamika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načini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međusobnog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izveštavanja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Plan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treba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sadrži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evaluaciju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plana.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podnosi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prijavu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obaveštava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Ministarstvo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školsku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upravu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od 24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od 24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utvrđuje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sastanku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borave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domu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obaveštava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poslove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učeničkog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studentskog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standarda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Pre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prijave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razgovor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time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može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bude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ugrožen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najbolji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interes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čemu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obaveštava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tužioca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centar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socijalni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komunikacija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medijima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neophodna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učesnik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U tom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slučaju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komunikaciju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medijima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predsednik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organa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upravljanja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komunikaciji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medijima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povodom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konkretnih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situacija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rizičnog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od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traži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izjava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odmah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školsku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upravu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javnošću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Ministarstva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utvrdi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nepreduzimanje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neblagovremeno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preduzimanje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odgovarajućih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propisanih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ovim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pravilnikom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slučajevima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povrede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zabrane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uređuje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sistema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obrazovanja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stiču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uslovi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prestanak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dužnosti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prekršajno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odgovoran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ukoliko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odmah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saznanju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prijavi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porodici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neposrednu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opasnost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ometa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prijavljivanje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ne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reaguje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njega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lastRenderedPageBreak/>
        <w:t xml:space="preserve">6)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Efekte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preduzetih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mera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i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aktivnosti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prati</w:t>
      </w:r>
      <w:proofErr w:type="spellEnd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b/>
          <w:bCs/>
          <w:i/>
          <w:iCs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 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starešina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vaspitač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psiholog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pedagog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provere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uspešnosti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daljeg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planiranja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ponašanje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trpelo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izvršilo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indirektno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uključeni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svedoci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).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uključenost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organa,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organizacija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Efekte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preduzetih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prate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Ministarstva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str_13"/>
      <w:bookmarkEnd w:id="14"/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Dokumentacija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analiza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Pr="002467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46701">
        <w:rPr>
          <w:rFonts w:ascii="Arial" w:eastAsia="Times New Roman" w:hAnsi="Arial" w:cs="Arial"/>
          <w:b/>
          <w:bCs/>
          <w:sz w:val="24"/>
          <w:szCs w:val="24"/>
        </w:rPr>
        <w:t>izveštavanje</w:t>
      </w:r>
      <w:proofErr w:type="spellEnd"/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sprovođenju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preventivnih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interventnih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: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1)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programa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2)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evidentira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slučajeve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trećeg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3)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konkretnih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planova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trećeg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4)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rad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vrstom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praćenje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efekata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preduzetih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;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5)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analizira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izveštava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Odeljenjski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starešina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vaspitač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beleži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prvom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;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procenjuje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delotvornost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preduzetih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evidentira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pedagoškoj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dokumentaciji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slučajevima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koji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zahtevaju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uključivanje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treći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nivo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dokumentaciju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(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službene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beleške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oblici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evidentiranja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podataka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licu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događaju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preduzetim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radnjama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dr.)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vodi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čuva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analizira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potrebe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psiholog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pedagog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gramStart"/>
      <w:r w:rsidRPr="00246701">
        <w:rPr>
          <w:rFonts w:ascii="Arial" w:eastAsia="Times New Roman" w:hAnsi="Arial" w:cs="Arial"/>
          <w:sz w:val="19"/>
          <w:szCs w:val="19"/>
        </w:rPr>
        <w:t>a</w:t>
      </w:r>
      <w:proofErr w:type="gram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izuzetno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član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tima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za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koga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odredio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Tim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podnosi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izveštaj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puta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godišnje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izveštava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organ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upravljanja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savet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roditelja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učenički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parlament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Izveštaj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ostvarivanju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programa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sastavni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deo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godišnjeg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izveštaja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dostavlja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se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Ministarstvu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školskoj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upravi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Izveštaj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sadrži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naročito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: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analizu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efekata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preventivnih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rezultate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samovrednovanja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ovoj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oblasti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broj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vrstu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slučajeva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preduzete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interventne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mere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kao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njihove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efekte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proofErr w:type="spellStart"/>
      <w:r w:rsidRPr="00246701">
        <w:rPr>
          <w:rFonts w:ascii="Arial" w:eastAsia="Times New Roman" w:hAnsi="Arial" w:cs="Arial"/>
          <w:sz w:val="19"/>
          <w:szCs w:val="19"/>
        </w:rPr>
        <w:t>Direktor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odlučuje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dozvoli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pristupa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dokumentaciji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podacima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postupku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osim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je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zahtev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suda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odnosno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drugog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nadležnog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organa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obavezan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da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dostavi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.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Korišćenje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dokumentacije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javne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svrhe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rukovanje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podacima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mora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biti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skladu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zakonom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 w:rsidRPr="00246701">
        <w:rPr>
          <w:rFonts w:ascii="Arial" w:eastAsia="Times New Roman" w:hAnsi="Arial" w:cs="Arial"/>
          <w:sz w:val="19"/>
          <w:szCs w:val="19"/>
        </w:rPr>
        <w:t xml:space="preserve">Na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osnovu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analiza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stanja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praćenja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vrednovanja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kvaliteta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efikasnosti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preduzetih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mera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aktivnosti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u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oblasti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prevencije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intervencije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ustanova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definiše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dalju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politiku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zaštite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dece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učenika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od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nasilja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,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zlostavljanja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i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246701">
        <w:rPr>
          <w:rFonts w:ascii="Arial" w:eastAsia="Times New Roman" w:hAnsi="Arial" w:cs="Arial"/>
          <w:sz w:val="19"/>
          <w:szCs w:val="19"/>
        </w:rPr>
        <w:t>zanemarivanja</w:t>
      </w:r>
      <w:proofErr w:type="spellEnd"/>
      <w:r w:rsidRPr="00246701">
        <w:rPr>
          <w:rFonts w:ascii="Arial" w:eastAsia="Times New Roman" w:hAnsi="Arial" w:cs="Arial"/>
          <w:sz w:val="19"/>
          <w:szCs w:val="19"/>
        </w:rPr>
        <w:t>.</w:t>
      </w:r>
    </w:p>
    <w:p w:rsidR="00246701" w:rsidRPr="00246701" w:rsidRDefault="00246701" w:rsidP="0024670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</w:p>
    <w:p w:rsidR="00246701" w:rsidRPr="00246701" w:rsidRDefault="00246701" w:rsidP="00246701">
      <w:pPr>
        <w:numPr>
          <w:ilvl w:val="1"/>
          <w:numId w:val="1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hyperlink r:id="rId5" w:history="1">
        <w:proofErr w:type="spellStart"/>
        <w:r w:rsidRPr="00246701">
          <w:rPr>
            <w:rFonts w:ascii="Open Sans" w:eastAsia="Times New Roman" w:hAnsi="Open Sans" w:cs="Open Sans"/>
            <w:color w:val="FFFFFF"/>
            <w:sz w:val="18"/>
            <w:szCs w:val="18"/>
          </w:rPr>
          <w:t>Početna</w:t>
        </w:r>
        <w:proofErr w:type="spellEnd"/>
      </w:hyperlink>
    </w:p>
    <w:p w:rsidR="00246701" w:rsidRPr="00246701" w:rsidRDefault="00246701" w:rsidP="00246701">
      <w:pPr>
        <w:numPr>
          <w:ilvl w:val="1"/>
          <w:numId w:val="1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hyperlink r:id="rId6" w:history="1">
        <w:r w:rsidRPr="00246701">
          <w:rPr>
            <w:rFonts w:ascii="Open Sans" w:eastAsia="Times New Roman" w:hAnsi="Open Sans" w:cs="Open Sans"/>
            <w:color w:val="FFFFFF"/>
            <w:sz w:val="18"/>
            <w:szCs w:val="18"/>
          </w:rPr>
          <w:t xml:space="preserve">O </w:t>
        </w:r>
        <w:proofErr w:type="spellStart"/>
        <w:r w:rsidRPr="00246701">
          <w:rPr>
            <w:rFonts w:ascii="Open Sans" w:eastAsia="Times New Roman" w:hAnsi="Open Sans" w:cs="Open Sans"/>
            <w:color w:val="FFFFFF"/>
            <w:sz w:val="18"/>
            <w:szCs w:val="18"/>
          </w:rPr>
          <w:t>nama</w:t>
        </w:r>
        <w:proofErr w:type="spellEnd"/>
      </w:hyperlink>
    </w:p>
    <w:p w:rsidR="00246701" w:rsidRPr="00246701" w:rsidRDefault="00246701" w:rsidP="00246701">
      <w:pPr>
        <w:numPr>
          <w:ilvl w:val="1"/>
          <w:numId w:val="1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hyperlink r:id="rId7" w:history="1">
        <w:proofErr w:type="spellStart"/>
        <w:r w:rsidRPr="00246701">
          <w:rPr>
            <w:rFonts w:ascii="Open Sans" w:eastAsia="Times New Roman" w:hAnsi="Open Sans" w:cs="Open Sans"/>
            <w:color w:val="FFFFFF"/>
            <w:sz w:val="18"/>
            <w:szCs w:val="18"/>
          </w:rPr>
          <w:t>Besplatno</w:t>
        </w:r>
        <w:proofErr w:type="spellEnd"/>
      </w:hyperlink>
    </w:p>
    <w:p w:rsidR="00246701" w:rsidRPr="00246701" w:rsidRDefault="00246701" w:rsidP="00246701">
      <w:pPr>
        <w:numPr>
          <w:ilvl w:val="1"/>
          <w:numId w:val="1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hyperlink r:id="rId8" w:history="1">
        <w:proofErr w:type="spellStart"/>
        <w:r w:rsidRPr="00246701">
          <w:rPr>
            <w:rFonts w:ascii="Open Sans" w:eastAsia="Times New Roman" w:hAnsi="Open Sans" w:cs="Open Sans"/>
            <w:color w:val="FFFFFF"/>
            <w:sz w:val="18"/>
            <w:szCs w:val="18"/>
          </w:rPr>
          <w:t>Pretplata</w:t>
        </w:r>
        <w:proofErr w:type="spellEnd"/>
      </w:hyperlink>
    </w:p>
    <w:p w:rsidR="00246701" w:rsidRPr="00246701" w:rsidRDefault="00246701" w:rsidP="00246701">
      <w:pPr>
        <w:numPr>
          <w:ilvl w:val="1"/>
          <w:numId w:val="1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hyperlink r:id="rId9" w:history="1">
        <w:proofErr w:type="spellStart"/>
        <w:r w:rsidRPr="00246701">
          <w:rPr>
            <w:rFonts w:ascii="Open Sans" w:eastAsia="Times New Roman" w:hAnsi="Open Sans" w:cs="Open Sans"/>
            <w:color w:val="FFFFFF"/>
            <w:sz w:val="18"/>
            <w:szCs w:val="18"/>
          </w:rPr>
          <w:t>Savetovanja</w:t>
        </w:r>
        <w:proofErr w:type="spellEnd"/>
      </w:hyperlink>
    </w:p>
    <w:p w:rsidR="00246701" w:rsidRPr="00246701" w:rsidRDefault="00246701" w:rsidP="00246701">
      <w:pPr>
        <w:numPr>
          <w:ilvl w:val="1"/>
          <w:numId w:val="1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hyperlink r:id="rId10" w:history="1">
        <w:proofErr w:type="spellStart"/>
        <w:r w:rsidRPr="00246701">
          <w:rPr>
            <w:rFonts w:ascii="Open Sans" w:eastAsia="Times New Roman" w:hAnsi="Open Sans" w:cs="Open Sans"/>
            <w:color w:val="FFFFFF"/>
            <w:sz w:val="18"/>
            <w:szCs w:val="18"/>
          </w:rPr>
          <w:t>Korisnički</w:t>
        </w:r>
        <w:proofErr w:type="spellEnd"/>
        <w:r w:rsidRPr="00246701">
          <w:rPr>
            <w:rFonts w:ascii="Open Sans" w:eastAsia="Times New Roman" w:hAnsi="Open Sans" w:cs="Open Sans"/>
            <w:color w:val="FFFFFF"/>
            <w:sz w:val="18"/>
            <w:szCs w:val="18"/>
          </w:rPr>
          <w:t xml:space="preserve"> </w:t>
        </w:r>
        <w:proofErr w:type="spellStart"/>
        <w:r w:rsidRPr="00246701">
          <w:rPr>
            <w:rFonts w:ascii="Open Sans" w:eastAsia="Times New Roman" w:hAnsi="Open Sans" w:cs="Open Sans"/>
            <w:color w:val="FFFFFF"/>
            <w:sz w:val="18"/>
            <w:szCs w:val="18"/>
          </w:rPr>
          <w:t>kutak</w:t>
        </w:r>
        <w:proofErr w:type="spellEnd"/>
      </w:hyperlink>
    </w:p>
    <w:p w:rsidR="00246701" w:rsidRPr="00246701" w:rsidRDefault="00246701" w:rsidP="00246701">
      <w:pPr>
        <w:numPr>
          <w:ilvl w:val="1"/>
          <w:numId w:val="1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hyperlink r:id="rId11" w:history="1">
        <w:proofErr w:type="spellStart"/>
        <w:r w:rsidRPr="00246701">
          <w:rPr>
            <w:rFonts w:ascii="Open Sans" w:eastAsia="Times New Roman" w:hAnsi="Open Sans" w:cs="Open Sans"/>
            <w:color w:val="FFFFFF"/>
            <w:sz w:val="18"/>
            <w:szCs w:val="18"/>
          </w:rPr>
          <w:t>Kontakt</w:t>
        </w:r>
        <w:proofErr w:type="spellEnd"/>
      </w:hyperlink>
    </w:p>
    <w:p w:rsidR="00246701" w:rsidRPr="00246701" w:rsidRDefault="00246701" w:rsidP="00246701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</w:p>
    <w:p w:rsidR="00246701" w:rsidRPr="00246701" w:rsidRDefault="00246701" w:rsidP="00246701">
      <w:pPr>
        <w:numPr>
          <w:ilvl w:val="1"/>
          <w:numId w:val="2"/>
        </w:numPr>
        <w:spacing w:before="150" w:after="150" w:line="240" w:lineRule="auto"/>
        <w:textAlignment w:val="baseline"/>
        <w:outlineLvl w:val="3"/>
        <w:rPr>
          <w:rFonts w:ascii="inherit" w:eastAsia="Times New Roman" w:hAnsi="inherit" w:cs="Open Sans"/>
          <w:color w:val="FFFFFF"/>
          <w:sz w:val="27"/>
          <w:szCs w:val="27"/>
        </w:rPr>
      </w:pPr>
      <w:proofErr w:type="spellStart"/>
      <w:r w:rsidRPr="00246701">
        <w:rPr>
          <w:rFonts w:ascii="inherit" w:eastAsia="Times New Roman" w:hAnsi="inherit" w:cs="Open Sans"/>
          <w:color w:val="FFFFFF"/>
          <w:sz w:val="27"/>
          <w:szCs w:val="27"/>
        </w:rPr>
        <w:t>Paragraf</w:t>
      </w:r>
      <w:proofErr w:type="spellEnd"/>
      <w:r w:rsidRPr="00246701">
        <w:rPr>
          <w:rFonts w:ascii="inherit" w:eastAsia="Times New Roman" w:hAnsi="inherit" w:cs="Open Sans"/>
          <w:color w:val="FFFFFF"/>
          <w:sz w:val="27"/>
          <w:szCs w:val="27"/>
        </w:rPr>
        <w:t xml:space="preserve"> Lex d.o.o.</w:t>
      </w:r>
    </w:p>
    <w:p w:rsidR="00246701" w:rsidRPr="00246701" w:rsidRDefault="00246701" w:rsidP="00246701">
      <w:pPr>
        <w:numPr>
          <w:ilvl w:val="1"/>
          <w:numId w:val="2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>PIB: 104830593</w:t>
      </w:r>
    </w:p>
    <w:p w:rsidR="00246701" w:rsidRPr="00246701" w:rsidRDefault="00246701" w:rsidP="00246701">
      <w:pPr>
        <w:numPr>
          <w:ilvl w:val="1"/>
          <w:numId w:val="2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proofErr w:type="spellStart"/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lastRenderedPageBreak/>
        <w:t>Matični</w:t>
      </w:r>
      <w:proofErr w:type="spellEnd"/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>broj</w:t>
      </w:r>
      <w:proofErr w:type="spellEnd"/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>: 20240156</w:t>
      </w:r>
    </w:p>
    <w:p w:rsidR="00246701" w:rsidRPr="00246701" w:rsidRDefault="00246701" w:rsidP="00246701">
      <w:pPr>
        <w:numPr>
          <w:ilvl w:val="1"/>
          <w:numId w:val="2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proofErr w:type="spellStart"/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>Tekući</w:t>
      </w:r>
      <w:proofErr w:type="spellEnd"/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 xml:space="preserve"> </w:t>
      </w:r>
      <w:proofErr w:type="spellStart"/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>račun</w:t>
      </w:r>
      <w:proofErr w:type="spellEnd"/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>:</w:t>
      </w:r>
    </w:p>
    <w:p w:rsidR="00246701" w:rsidRPr="00246701" w:rsidRDefault="00246701" w:rsidP="00246701">
      <w:pPr>
        <w:numPr>
          <w:ilvl w:val="1"/>
          <w:numId w:val="2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>285-1001000001779-17</w:t>
      </w:r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br/>
        <w:t>160-0000000380290-23</w:t>
      </w:r>
    </w:p>
    <w:p w:rsidR="00246701" w:rsidRPr="00246701" w:rsidRDefault="00246701" w:rsidP="00246701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</w:p>
    <w:p w:rsidR="00246701" w:rsidRPr="00246701" w:rsidRDefault="00246701" w:rsidP="00246701">
      <w:pPr>
        <w:numPr>
          <w:ilvl w:val="1"/>
          <w:numId w:val="3"/>
        </w:numPr>
        <w:spacing w:before="150" w:after="150" w:line="240" w:lineRule="auto"/>
        <w:textAlignment w:val="baseline"/>
        <w:outlineLvl w:val="3"/>
        <w:rPr>
          <w:rFonts w:ascii="inherit" w:eastAsia="Times New Roman" w:hAnsi="inherit" w:cs="Open Sans"/>
          <w:color w:val="FFFFFF"/>
          <w:sz w:val="27"/>
          <w:szCs w:val="27"/>
        </w:rPr>
      </w:pPr>
      <w:proofErr w:type="spellStart"/>
      <w:r w:rsidRPr="00246701">
        <w:rPr>
          <w:rFonts w:ascii="inherit" w:eastAsia="Times New Roman" w:hAnsi="inherit" w:cs="Open Sans"/>
          <w:color w:val="FFFFFF"/>
          <w:sz w:val="27"/>
          <w:szCs w:val="27"/>
        </w:rPr>
        <w:t>Radno</w:t>
      </w:r>
      <w:proofErr w:type="spellEnd"/>
      <w:r w:rsidRPr="00246701">
        <w:rPr>
          <w:rFonts w:ascii="inherit" w:eastAsia="Times New Roman" w:hAnsi="inherit" w:cs="Open Sans"/>
          <w:color w:val="FFFFFF"/>
          <w:sz w:val="27"/>
          <w:szCs w:val="27"/>
        </w:rPr>
        <w:t xml:space="preserve"> </w:t>
      </w:r>
      <w:proofErr w:type="spellStart"/>
      <w:r w:rsidRPr="00246701">
        <w:rPr>
          <w:rFonts w:ascii="inherit" w:eastAsia="Times New Roman" w:hAnsi="inherit" w:cs="Open Sans"/>
          <w:color w:val="FFFFFF"/>
          <w:sz w:val="27"/>
          <w:szCs w:val="27"/>
        </w:rPr>
        <w:t>vreme</w:t>
      </w:r>
      <w:proofErr w:type="spellEnd"/>
      <w:r w:rsidRPr="00246701">
        <w:rPr>
          <w:rFonts w:ascii="inherit" w:eastAsia="Times New Roman" w:hAnsi="inherit" w:cs="Open Sans"/>
          <w:color w:val="FFFFFF"/>
          <w:sz w:val="27"/>
          <w:szCs w:val="27"/>
        </w:rPr>
        <w:t>:</w:t>
      </w:r>
    </w:p>
    <w:p w:rsidR="00246701" w:rsidRPr="00246701" w:rsidRDefault="00246701" w:rsidP="00246701">
      <w:pPr>
        <w:numPr>
          <w:ilvl w:val="1"/>
          <w:numId w:val="3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proofErr w:type="spellStart"/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>Ponedeljak</w:t>
      </w:r>
      <w:proofErr w:type="spellEnd"/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 xml:space="preserve"> - </w:t>
      </w:r>
      <w:proofErr w:type="spellStart"/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>petak</w:t>
      </w:r>
      <w:proofErr w:type="spellEnd"/>
    </w:p>
    <w:p w:rsidR="00246701" w:rsidRPr="00246701" w:rsidRDefault="00246701" w:rsidP="00246701">
      <w:pPr>
        <w:numPr>
          <w:ilvl w:val="1"/>
          <w:numId w:val="3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>7:30 - 15:30</w:t>
      </w:r>
    </w:p>
    <w:p w:rsidR="00246701" w:rsidRPr="00246701" w:rsidRDefault="00246701" w:rsidP="00246701">
      <w:pPr>
        <w:numPr>
          <w:ilvl w:val="0"/>
          <w:numId w:val="4"/>
        </w:numPr>
        <w:spacing w:after="375" w:line="240" w:lineRule="auto"/>
        <w:ind w:left="1440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</w:p>
    <w:p w:rsidR="00246701" w:rsidRPr="00246701" w:rsidRDefault="00246701" w:rsidP="00246701">
      <w:pPr>
        <w:numPr>
          <w:ilvl w:val="1"/>
          <w:numId w:val="4"/>
        </w:numPr>
        <w:spacing w:before="150" w:after="150" w:line="240" w:lineRule="auto"/>
        <w:textAlignment w:val="baseline"/>
        <w:outlineLvl w:val="3"/>
        <w:rPr>
          <w:rFonts w:ascii="inherit" w:eastAsia="Times New Roman" w:hAnsi="inherit" w:cs="Open Sans"/>
          <w:color w:val="FFFFFF"/>
          <w:sz w:val="27"/>
          <w:szCs w:val="27"/>
        </w:rPr>
      </w:pPr>
      <w:proofErr w:type="spellStart"/>
      <w:r w:rsidRPr="00246701">
        <w:rPr>
          <w:rFonts w:ascii="inherit" w:eastAsia="Times New Roman" w:hAnsi="inherit" w:cs="Open Sans"/>
          <w:color w:val="FFFFFF"/>
          <w:sz w:val="27"/>
          <w:szCs w:val="27"/>
        </w:rPr>
        <w:t>Kontaktirajte</w:t>
      </w:r>
      <w:proofErr w:type="spellEnd"/>
      <w:r w:rsidRPr="00246701">
        <w:rPr>
          <w:rFonts w:ascii="inherit" w:eastAsia="Times New Roman" w:hAnsi="inherit" w:cs="Open Sans"/>
          <w:color w:val="FFFFFF"/>
          <w:sz w:val="27"/>
          <w:szCs w:val="27"/>
        </w:rPr>
        <w:t xml:space="preserve"> </w:t>
      </w:r>
      <w:proofErr w:type="spellStart"/>
      <w:r w:rsidRPr="00246701">
        <w:rPr>
          <w:rFonts w:ascii="inherit" w:eastAsia="Times New Roman" w:hAnsi="inherit" w:cs="Open Sans"/>
          <w:color w:val="FFFFFF"/>
          <w:sz w:val="27"/>
          <w:szCs w:val="27"/>
        </w:rPr>
        <w:t>nas</w:t>
      </w:r>
      <w:proofErr w:type="spellEnd"/>
      <w:r w:rsidRPr="00246701">
        <w:rPr>
          <w:rFonts w:ascii="inherit" w:eastAsia="Times New Roman" w:hAnsi="inherit" w:cs="Open Sans"/>
          <w:color w:val="FFFFFF"/>
          <w:sz w:val="27"/>
          <w:szCs w:val="27"/>
        </w:rPr>
        <w:t>:</w:t>
      </w:r>
    </w:p>
    <w:p w:rsidR="00246701" w:rsidRPr="00246701" w:rsidRDefault="00246701" w:rsidP="00246701">
      <w:pPr>
        <w:numPr>
          <w:ilvl w:val="1"/>
          <w:numId w:val="4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t>online@paragraf.rs</w:t>
      </w:r>
    </w:p>
    <w:p w:rsidR="00246701" w:rsidRPr="00246701" w:rsidRDefault="00246701" w:rsidP="00246701">
      <w:pPr>
        <w:spacing w:before="75" w:after="75" w:line="240" w:lineRule="auto"/>
        <w:ind w:left="720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r w:rsidRPr="00246701">
        <w:rPr>
          <w:rFonts w:ascii="Open Sans" w:eastAsia="Times New Roman" w:hAnsi="Open Sans" w:cs="Open Sans"/>
          <w:color w:val="FFFFFF"/>
          <w:sz w:val="18"/>
          <w:szCs w:val="18"/>
        </w:rPr>
        <w:pict>
          <v:rect id="_x0000_i1025" style="width:0;height:0" o:hralign="center" o:hrstd="t" o:hr="t" fillcolor="#a0a0a0" stroked="f"/>
        </w:pict>
      </w:r>
    </w:p>
    <w:p w:rsidR="00246701" w:rsidRPr="00246701" w:rsidRDefault="00246701" w:rsidP="00246701">
      <w:pPr>
        <w:numPr>
          <w:ilvl w:val="1"/>
          <w:numId w:val="4"/>
        </w:numPr>
        <w:spacing w:before="75" w:after="75" w:line="240" w:lineRule="auto"/>
        <w:textAlignment w:val="baseline"/>
        <w:rPr>
          <w:rFonts w:ascii="Open Sans" w:eastAsia="Times New Roman" w:hAnsi="Open Sans" w:cs="Open Sans"/>
          <w:color w:val="FFFFFF"/>
          <w:sz w:val="18"/>
          <w:szCs w:val="18"/>
        </w:rPr>
      </w:pPr>
      <w:hyperlink r:id="rId12" w:history="1">
        <w:proofErr w:type="spellStart"/>
        <w:r w:rsidRPr="00246701">
          <w:rPr>
            <w:rFonts w:ascii="Open Sans" w:eastAsia="Times New Roman" w:hAnsi="Open Sans" w:cs="Open Sans"/>
            <w:color w:val="FFFFFF"/>
            <w:sz w:val="18"/>
            <w:szCs w:val="18"/>
          </w:rPr>
          <w:t>Politika</w:t>
        </w:r>
        <w:proofErr w:type="spellEnd"/>
        <w:r w:rsidRPr="00246701">
          <w:rPr>
            <w:rFonts w:ascii="Open Sans" w:eastAsia="Times New Roman" w:hAnsi="Open Sans" w:cs="Open Sans"/>
            <w:color w:val="FFFFFF"/>
            <w:sz w:val="18"/>
            <w:szCs w:val="18"/>
          </w:rPr>
          <w:t xml:space="preserve"> </w:t>
        </w:r>
        <w:proofErr w:type="spellStart"/>
        <w:r w:rsidRPr="00246701">
          <w:rPr>
            <w:rFonts w:ascii="Open Sans" w:eastAsia="Times New Roman" w:hAnsi="Open Sans" w:cs="Open Sans"/>
            <w:color w:val="FFFFFF"/>
            <w:sz w:val="18"/>
            <w:szCs w:val="18"/>
          </w:rPr>
          <w:t>privatnosti</w:t>
        </w:r>
        <w:proofErr w:type="spellEnd"/>
      </w:hyperlink>
    </w:p>
    <w:p w:rsidR="000E34F2" w:rsidRDefault="000E34F2"/>
    <w:sectPr w:rsidR="000E3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2050A"/>
    <w:multiLevelType w:val="multilevel"/>
    <w:tmpl w:val="F50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B2BF5"/>
    <w:multiLevelType w:val="multilevel"/>
    <w:tmpl w:val="3E1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20164"/>
    <w:multiLevelType w:val="multilevel"/>
    <w:tmpl w:val="EFD4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C508F"/>
    <w:multiLevelType w:val="multilevel"/>
    <w:tmpl w:val="9964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407669">
    <w:abstractNumId w:val="1"/>
  </w:num>
  <w:num w:numId="2" w16cid:durableId="103158311">
    <w:abstractNumId w:val="3"/>
  </w:num>
  <w:num w:numId="3" w16cid:durableId="573860511">
    <w:abstractNumId w:val="0"/>
  </w:num>
  <w:num w:numId="4" w16cid:durableId="770970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01"/>
    <w:rsid w:val="000E34F2"/>
    <w:rsid w:val="0024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B07CC-21EA-46F5-B41F-8E514845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1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144D90"/>
            <w:bottom w:val="none" w:sz="0" w:space="0" w:color="auto"/>
            <w:right w:val="single" w:sz="6" w:space="11" w:color="000000"/>
          </w:divBdr>
        </w:div>
        <w:div w:id="1308046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144D90"/>
            <w:bottom w:val="none" w:sz="0" w:space="0" w:color="auto"/>
            <w:right w:val="single" w:sz="6" w:space="11" w:color="000000"/>
          </w:divBdr>
        </w:div>
        <w:div w:id="1569634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144D90"/>
            <w:bottom w:val="none" w:sz="0" w:space="0" w:color="auto"/>
            <w:right w:val="single" w:sz="6" w:space="11" w:color="000000"/>
          </w:divBdr>
        </w:div>
        <w:div w:id="16119313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144D90"/>
            <w:bottom w:val="none" w:sz="0" w:space="0" w:color="auto"/>
            <w:right w:val="single" w:sz="6" w:space="11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strane/pretplat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.html" TargetMode="External"/><Relationship Id="rId12" Type="http://schemas.openxmlformats.org/officeDocument/2006/relationships/hyperlink" Target="https://www.paragraf.rs/politika-privat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onama.html" TargetMode="External"/><Relationship Id="rId11" Type="http://schemas.openxmlformats.org/officeDocument/2006/relationships/hyperlink" Target="https://www.paragraf.rs/kontakt.html" TargetMode="External"/><Relationship Id="rId5" Type="http://schemas.openxmlformats.org/officeDocument/2006/relationships/hyperlink" Target="https://www.paragraf.rs/" TargetMode="External"/><Relationship Id="rId10" Type="http://schemas.openxmlformats.org/officeDocument/2006/relationships/hyperlink" Target="https://www.paragraf.rs/kuta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savetovanj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6540</Words>
  <Characters>37278</Characters>
  <Application>Microsoft Office Word</Application>
  <DocSecurity>0</DocSecurity>
  <Lines>310</Lines>
  <Paragraphs>87</Paragraphs>
  <ScaleCrop>false</ScaleCrop>
  <Company/>
  <LinksUpToDate>false</LinksUpToDate>
  <CharactersWithSpaces>43731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2022-11-10T15:47:00Z</dcterms:created>
  <dcterms:modified xsi:type="dcterms:W3CDTF">2022-11-10T15:47:00Z</dcterms:modified>
</cp:coreProperties>
</file>